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kern w:val="0"/>
          <w:sz w:val="44"/>
          <w:szCs w:val="44"/>
          <w:lang w:val="en-US" w:eastAsia="zh-CN" w:bidi="ar-SA"/>
        </w:rPr>
      </w:pPr>
      <w:bookmarkStart w:id="0" w:name="_Toc87651524"/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kern w:val="0"/>
          <w:sz w:val="44"/>
          <w:szCs w:val="44"/>
          <w:lang w:val="en-US" w:eastAsia="zh-CN" w:bidi="ar-SA"/>
        </w:rPr>
        <w:t>中共永州职业技术学院委员会</w:t>
      </w:r>
    </w:p>
    <w:p>
      <w:pPr>
        <w:pStyle w:val="5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kern w:val="0"/>
          <w:sz w:val="44"/>
          <w:szCs w:val="44"/>
          <w:lang w:val="en-US" w:eastAsia="zh-CN" w:bidi="ar-SA"/>
        </w:rPr>
        <w:t>关于巡察整改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kern w:val="0"/>
          <w:sz w:val="44"/>
          <w:szCs w:val="44"/>
          <w:lang w:val="en-US" w:eastAsia="zh-CN" w:bidi="ar-SA"/>
        </w:rPr>
        <w:t>进展情况的通报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b/>
          <w:bCs/>
          <w:spacing w:val="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根据市委统一部署，2021年3月12日至6月10日，市委第七巡察组对我院开展了常规巡察。2021年8月20日，市委第七巡察组向学院反馈了巡察意见。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按照党务公开原则和巡察工作有关要求，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巡察整改进展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予以公布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36" w:firstLineChars="249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lang w:val="en-US" w:eastAsia="zh-CN"/>
        </w:rPr>
        <w:t>一、关于“</w:t>
      </w:r>
      <w:r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</w:rPr>
        <w:t>在贯彻落实中央省委决策部署有差距，推动职院高质量发展不够有力</w:t>
      </w:r>
      <w:r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lang w:val="en-US" w:eastAsia="zh-CN"/>
        </w:rPr>
        <w:t>方面的问题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整改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进度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整改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进展情况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：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</w:rPr>
        <w:t>一是加强理论武装。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严格落实党委理论中心组学习制度，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调整2021年度理论学习中心组学习计划内容，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增加职业教育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相关内容。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坚持学用结合，提高学习的针对性、实用性。如，加快推进“三全育人”综合改革、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召开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“三全育人”专题工作会议。开展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校级“三全育人”项目申报、评审工作。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</w:rPr>
        <w:t>是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/>
        </w:rPr>
        <w:t>抓好重大决策部署落实。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严格执行高效经费政策，通过合法手段追回企业收取的学生技能培训费。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服务学习型社会建设，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经统计2020年9月1日至2021年8月31日我院开展的各级各类培训人数达52701人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，其中培训社会生人数11415人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。编印了《高等职业教育文件汇编（2020-2021）》（每年编印1本），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编制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《永州职业技术学院质量提升行动计划(2020-2023)》（永职院发〔2021〕9号）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落实落细职教“20条”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。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/>
        </w:rPr>
        <w:t>三是认真履行职能职责。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对学校38个专业人才培养方案进行了修订，完善了教育教学相关制度及创新教学方式方法。充分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发挥职称评审标准的导向作用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积极推行教授科研津贴考核制度，提升学院科技创新能力。进一步完善产教融合制度，规范校企合作事项，深入推进产教融合。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/>
        </w:rPr>
        <w:t>四是全面落实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</w:rPr>
        <w:t>意识形态工作责任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/>
        </w:rPr>
        <w:t>制。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把意识形态工作纳入了年度工作计划、支部述职报告、班子成员对照检查和述职述廉报告、纪检部门监督检查考核内容，2021年学院党委专题研究意识形态工作2次。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加大督促检查力度，对各部门、二级学院意识形态工作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进行了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督查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责成相关部门加强网站维护及时更新了网站内容，并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出深刻检讨。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36" w:firstLineChars="249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lang w:val="en-US" w:eastAsia="zh-CN"/>
        </w:rPr>
        <w:t>二、关于“全面从严治党不严,对重点部门廉政风险防控不够到位”方面的问题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整改进度：基本完成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整改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进展情况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：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</w:rPr>
        <w:t>一是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/>
        </w:rPr>
        <w:t>大力反对“形式主义、官僚主义”。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强化服务意识，全面推行首问负责制、一次性告知和即时办结制。下发了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《永州职业技术学院经费开支审批管理办法（试行）》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减少报账审批环节，方便教职工财务报账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严格落实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考勤制度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修改完善了《永州职业技术学院日常考勤与劳动纪律管理办法》，对7位违反劳动纪律的同志分别给予了通报批评、诫勉谈话、扣发1个月奖励性绩效工资、约谈等处理。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/>
        </w:rPr>
        <w:t>二是坚决执行中央八项规定精神。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对巡察指出的违规发放教师节服装费、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小金洞扶贫茶叶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征兵工作评审补助等费用及时进行了清退。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/>
        </w:rPr>
        <w:t>三是认真履行全面从严治党主体责任。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廉政风险防控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修订《永州职业技术学院专业技术职务评聘办法》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针对职称评定不公开不透明的问题进行了自查，相关负责人作了情况说明和书面检查。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引入第三方审计机构或仲裁机构对阳光小区支出情况进行全面核实，并给出公正的费用分摊办法。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/>
        </w:rPr>
        <w:t>四是切实强化纪委监督作用。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认真落实《中共永州职业技术学院纪律检查委员会关于进一步贯彻落实“三转”的实施意见》，聚焦主责主业，充分发挥“监督的再监督”作用，把日常监督挺在前面，实现“转职能、转方式、转作风”。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/>
        </w:rPr>
        <w:t>五是全力解决重点难点问题。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加大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绩效工资改革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力度，出台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《关于推进绩效改革工作方案》，明确教职工课时增加10元/节，教辅行管人员绩效提高30%。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全面摸排了校企合作情况，明确专人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督促企业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限时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终止理发、奶茶、美容等与校企合作无关的所有项目，撤出学校。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切实规范食堂管理，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食堂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公司目标管理的制度及账目进行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严保消防安全、食品安全和生命安全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36" w:firstLineChars="249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0"/>
          <w:sz w:val="32"/>
          <w:szCs w:val="32"/>
          <w:lang w:val="en-US" w:eastAsia="zh-CN"/>
        </w:rPr>
        <w:t>三、关于“执行选人用人规定不够规范，基层党组织建设存在薄弱环节”方面的问题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整改进度：基本完成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整改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进展情况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：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/>
        </w:rPr>
        <w:t>一是强化基层党建工作。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严格执行双重组织生活和“三会一课”制度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进一步加强督查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严肃党内政治生活，开展基层党建调研督查，切实规范党建工作程序，及时督促党组织换届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目前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附属医院基层党组织换届工作已完成。加强实习大学生党员的管理工作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发展学生党员严格按照程序进行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对拟发展对象需征求学工部、团委和教务处等部门意见。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/>
        </w:rPr>
        <w:t>二是严格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</w:rPr>
        <w:t>机构编制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/>
        </w:rPr>
        <w:t>管理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根据学院和附属医院发展和工作需要，并结合个人意愿，着力解决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混编混岗问题。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eastAsia="zh-CN"/>
        </w:rPr>
        <w:t>目前已有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4人回学院工作。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/>
        </w:rPr>
        <w:t>三是加强干部队伍建设。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配强配优班子，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积极与上级组织部门沟通汇报，在换届工作中，充分考虑党委班子队伍建设的年轻化、专业化。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加大年轻干部使用力度，经过干部预审程序，拟提拔一批80、90后干部。加强人才队伍建设，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制定了《永州职业技术学院关于进一步加强师资队伍建设的规定（修订）》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《永州职业技术学院专业技术人员职务评聘实施办法（修订）》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《永州职业技术学院“低职高聘”与“高聘低聘”暂行办法》等制度。引进了农学博士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1名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，并解决其妻子享受学院在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岗在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编同等待遇。结合学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思政队伍和辅导员队伍的实际情况，转岗12名、招聘和人才引进11名，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配齐了思想政治理论课教师队伍。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欢迎社会各界对巡察整改落实情况进行监督，若有意见建议，请及时向我们反映。联系方式：电话0746-6663058;电子邮箱：yzzyjw@163.com。</w:t>
      </w:r>
    </w:p>
    <w:p>
      <w:pPr>
        <w:pStyle w:val="1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pacing w:val="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</w:rPr>
        <w:t>中共永州职业技术学院委员会</w:t>
      </w:r>
    </w:p>
    <w:p>
      <w:pPr>
        <w:pStyle w:val="12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72"/>
        <w:jc w:val="right"/>
        <w:textAlignment w:val="auto"/>
        <w:rPr>
          <w:rFonts w:ascii="方正仿宋_GBK" w:hAnsi="方正仿宋_GBK" w:eastAsia="方正仿宋_GBK" w:cs="方正仿宋_GBK"/>
          <w:b/>
          <w:bCs/>
          <w:color w:val="auto"/>
          <w:spacing w:val="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 w:bidi="ar-SA"/>
        </w:rPr>
        <w:t xml:space="preserve">2021年12月31日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pacing w:val="8"/>
        </w:rPr>
        <w:t xml:space="preserve">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b/>
          <w:bCs/>
        </w:rPr>
      </w:pPr>
      <w:bookmarkStart w:id="1" w:name="_GoBack"/>
      <w:bookmarkEnd w:id="1"/>
    </w:p>
    <w:sectPr>
      <w:footerReference r:id="rId3" w:type="default"/>
      <w:pgSz w:w="11906" w:h="16838"/>
      <w:pgMar w:top="1984" w:right="1701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eastAsiaTheme="minorEastAsia"/>
                              <w:b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b/>
                              <w:sz w:val="28"/>
                              <w:szCs w:val="28"/>
                            </w:rPr>
                            <w:t>- 40 -</w:t>
                          </w:r>
                          <w:r>
                            <w:rPr>
                              <w:rFonts w:asciiTheme="minorEastAsia" w:hAnsiTheme="minorEastAsia" w:eastAsiaTheme="minorEastAsia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eastAsiaTheme="minorEastAsia"/>
                        <w:b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b/>
                        <w:sz w:val="28"/>
                        <w:szCs w:val="28"/>
                      </w:rPr>
                      <w:t>- 40 -</w:t>
                    </w:r>
                    <w:r>
                      <w:rPr>
                        <w:rFonts w:asciiTheme="minorEastAsia" w:hAnsiTheme="minorEastAsia" w:eastAsiaTheme="minorEastAsia"/>
                        <w:b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65BBC"/>
    <w:rsid w:val="02814831"/>
    <w:rsid w:val="06854D4A"/>
    <w:rsid w:val="16F061B9"/>
    <w:rsid w:val="1E4975B8"/>
    <w:rsid w:val="247E1A12"/>
    <w:rsid w:val="2C423034"/>
    <w:rsid w:val="2D752D75"/>
    <w:rsid w:val="3B6824DF"/>
    <w:rsid w:val="43AA10F1"/>
    <w:rsid w:val="47B30F87"/>
    <w:rsid w:val="5D022E3D"/>
    <w:rsid w:val="60C7577A"/>
    <w:rsid w:val="62F06E38"/>
    <w:rsid w:val="6CE77153"/>
    <w:rsid w:val="7DB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Arial" w:hAnsi="Arial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customStyle="1" w:styleId="4">
    <w:name w:val="_Style 3"/>
    <w:next w:val="1"/>
    <w:qFormat/>
    <w:uiPriority w:val="0"/>
    <w:pPr>
      <w:wordWrap w:val="0"/>
      <w:spacing w:before="200" w:after="160"/>
      <w:ind w:left="3680" w:right="864"/>
      <w:jc w:val="center"/>
    </w:pPr>
    <w:rPr>
      <w:rFonts w:ascii="Times New Roman" w:hAnsi="Times New Roman" w:eastAsia="宋体" w:cs="Times New Roman"/>
      <w:i/>
      <w:lang w:val="en-US" w:eastAsia="zh-CN" w:bidi="ar-SA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6"/>
    <w:unhideWhenUsed/>
    <w:qFormat/>
    <w:uiPriority w:val="99"/>
    <w:pPr>
      <w:ind w:firstLine="420" w:firstLineChars="200"/>
    </w:pPr>
  </w:style>
  <w:style w:type="paragraph" w:customStyle="1" w:styleId="12">
    <w:name w:val="排版"/>
    <w:basedOn w:val="1"/>
    <w:qFormat/>
    <w:uiPriority w:val="0"/>
    <w:pPr>
      <w:spacing w:before="300" w:after="150" w:line="580" w:lineRule="exact"/>
      <w:ind w:firstLine="200" w:firstLineChars="200"/>
    </w:pPr>
    <w:rPr>
      <w:rFonts w:ascii="仿宋_GB2312" w:hAnsi="仿宋" w:eastAsia="仿宋_GB2312" w:cs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2022-01-10T12:13:00Z</dcterms:created>
  <dc:creator>删除键</dc:creator>
  <cp:lastModifiedBy>周周</cp:lastModifiedBy>
  <dcterms:modified xsi:type="dcterms:W3CDTF">2022-01-24T00:58:27Z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A040FD012F4244768EDDAD9AAC232269</vt:lpwstr>
  </property>
</Properties>
</file>